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F23516" w14:textId="657EE187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9D4544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9D4544">
        <w:rPr>
          <w:rFonts w:cs="Arial"/>
          <w:bCs/>
          <w:sz w:val="22"/>
          <w:szCs w:val="22"/>
        </w:rPr>
        <w:t>#4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9D4544">
        <w:rPr>
          <w:rFonts w:cs="Arial"/>
          <w:noProof w:val="0"/>
          <w:sz w:val="22"/>
          <w:szCs w:val="22"/>
        </w:rPr>
        <w:t>98-e</w:t>
      </w:r>
      <w:r w:rsidRPr="00DA53A0">
        <w:rPr>
          <w:rFonts w:cs="Arial"/>
          <w:bCs/>
          <w:sz w:val="22"/>
          <w:szCs w:val="22"/>
        </w:rPr>
        <w:tab/>
      </w:r>
      <w:r w:rsidR="009D4544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9D4544">
        <w:rPr>
          <w:rFonts w:cs="Arial"/>
          <w:noProof w:val="0"/>
          <w:sz w:val="22"/>
          <w:szCs w:val="22"/>
        </w:rPr>
        <w:t>R4-210</w:t>
      </w:r>
      <w:r w:rsidR="00695C55">
        <w:rPr>
          <w:rFonts w:cs="Arial"/>
          <w:noProof w:val="0"/>
          <w:sz w:val="22"/>
          <w:szCs w:val="22"/>
        </w:rPr>
        <w:t>1853</w:t>
      </w:r>
    </w:p>
    <w:p w14:paraId="2CEB7BAA" w14:textId="1C2F48D9" w:rsidR="004E3939" w:rsidRPr="00DA53A0" w:rsidRDefault="009D4544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 meeting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Jan 25</w:t>
      </w:r>
      <w:r w:rsidRPr="009D4544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</w:t>
      </w:r>
      <w:r w:rsidR="004E3939" w:rsidRPr="00DA53A0">
        <w:rPr>
          <w:sz w:val="22"/>
          <w:szCs w:val="22"/>
        </w:rPr>
        <w:t xml:space="preserve"> - </w:t>
      </w:r>
      <w:r>
        <w:rPr>
          <w:sz w:val="22"/>
          <w:szCs w:val="22"/>
        </w:rPr>
        <w:t>Feb 5</w:t>
      </w:r>
      <w:r w:rsidRPr="009D4544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>, 2021</w:t>
      </w:r>
    </w:p>
    <w:p w14:paraId="60F3E72C" w14:textId="77777777" w:rsidR="00B97703" w:rsidRDefault="00B97703">
      <w:pPr>
        <w:rPr>
          <w:rFonts w:ascii="Arial" w:hAnsi="Arial" w:cs="Arial"/>
        </w:rPr>
      </w:pPr>
    </w:p>
    <w:p w14:paraId="07F86897" w14:textId="55185A1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D4544">
        <w:rPr>
          <w:rFonts w:ascii="Arial" w:hAnsi="Arial" w:cs="Arial"/>
          <w:b/>
          <w:sz w:val="22"/>
          <w:szCs w:val="22"/>
        </w:rPr>
        <w:t xml:space="preserve">Draft 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9D4544">
        <w:rPr>
          <w:rFonts w:ascii="Arial" w:hAnsi="Arial" w:cs="Arial"/>
          <w:b/>
          <w:sz w:val="22"/>
          <w:szCs w:val="22"/>
        </w:rPr>
        <w:t>BCS and support for intra-band EN-DC band combinations</w:t>
      </w:r>
    </w:p>
    <w:p w14:paraId="5FD12805" w14:textId="0113056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9D4544">
        <w:rPr>
          <w:rFonts w:ascii="Arial" w:hAnsi="Arial" w:cs="Arial"/>
          <w:b/>
          <w:bCs/>
          <w:sz w:val="22"/>
          <w:szCs w:val="22"/>
        </w:rPr>
        <w:t>RP-202935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9D4544">
        <w:rPr>
          <w:rFonts w:ascii="Arial" w:hAnsi="Arial" w:cs="Arial"/>
          <w:b/>
          <w:sz w:val="22"/>
          <w:szCs w:val="22"/>
        </w:rPr>
        <w:t>BCS and support for intra-band EN-DC band combinations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9D4544">
        <w:rPr>
          <w:rFonts w:ascii="Arial" w:hAnsi="Arial" w:cs="Arial"/>
          <w:b/>
          <w:bCs/>
          <w:sz w:val="22"/>
          <w:szCs w:val="22"/>
        </w:rPr>
        <w:t>TSG RAN</w:t>
      </w:r>
    </w:p>
    <w:p w14:paraId="75F9265F" w14:textId="7AEC31E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D4544">
        <w:rPr>
          <w:rFonts w:ascii="Arial" w:hAnsi="Arial" w:cs="Arial"/>
          <w:b/>
          <w:bCs/>
          <w:sz w:val="22"/>
          <w:szCs w:val="22"/>
        </w:rPr>
        <w:t>Release 15</w:t>
      </w:r>
    </w:p>
    <w:bookmarkEnd w:id="5"/>
    <w:bookmarkEnd w:id="6"/>
    <w:bookmarkEnd w:id="7"/>
    <w:p w14:paraId="7242138E" w14:textId="0786979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D4544">
        <w:rPr>
          <w:rFonts w:ascii="Arial" w:hAnsi="Arial" w:cs="Arial"/>
          <w:b/>
          <w:bCs/>
          <w:sz w:val="22"/>
          <w:szCs w:val="22"/>
        </w:rPr>
        <w:t>NR_NewRAT-Core</w:t>
      </w:r>
    </w:p>
    <w:p w14:paraId="6BF510F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398C09A" w14:textId="0EFBD345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D4544">
        <w:rPr>
          <w:rFonts w:ascii="Arial" w:hAnsi="Arial" w:cs="Arial"/>
          <w:b/>
          <w:sz w:val="22"/>
          <w:szCs w:val="22"/>
        </w:rPr>
        <w:t>RAN4</w:t>
      </w:r>
    </w:p>
    <w:p w14:paraId="0621AAF1" w14:textId="0EC8F59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D4544">
        <w:rPr>
          <w:rFonts w:ascii="Arial" w:hAnsi="Arial" w:cs="Arial"/>
          <w:b/>
          <w:bCs/>
          <w:sz w:val="22"/>
          <w:szCs w:val="22"/>
        </w:rPr>
        <w:t>RAN</w:t>
      </w:r>
      <w:r w:rsidR="00EC1E2B">
        <w:rPr>
          <w:rFonts w:ascii="Arial" w:hAnsi="Arial" w:cs="Arial"/>
          <w:b/>
          <w:bCs/>
          <w:sz w:val="22"/>
          <w:szCs w:val="22"/>
        </w:rPr>
        <w:t>2</w:t>
      </w:r>
    </w:p>
    <w:p w14:paraId="54A78E9B" w14:textId="4E8251E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D4544">
        <w:rPr>
          <w:rFonts w:ascii="Arial" w:hAnsi="Arial" w:cs="Arial"/>
          <w:b/>
          <w:bCs/>
          <w:sz w:val="22"/>
          <w:szCs w:val="22"/>
        </w:rPr>
        <w:t>RAN</w:t>
      </w:r>
    </w:p>
    <w:bookmarkEnd w:id="8"/>
    <w:bookmarkEnd w:id="9"/>
    <w:p w14:paraId="3B16ACD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FF1C0D1" w14:textId="1F6BE60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D4544">
        <w:rPr>
          <w:rFonts w:ascii="Arial" w:hAnsi="Arial" w:cs="Arial"/>
          <w:b/>
          <w:bCs/>
          <w:sz w:val="22"/>
          <w:szCs w:val="22"/>
        </w:rPr>
        <w:t>Aijun CAO</w:t>
      </w:r>
    </w:p>
    <w:p w14:paraId="287F16C7" w14:textId="19C6C10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9D4544">
        <w:rPr>
          <w:rFonts w:ascii="Arial" w:hAnsi="Arial" w:cs="Arial"/>
          <w:b/>
          <w:bCs/>
          <w:sz w:val="22"/>
          <w:szCs w:val="22"/>
        </w:rPr>
        <w:t>Cao.aijun@zte.com.cn</w:t>
      </w:r>
    </w:p>
    <w:p w14:paraId="63AA909B" w14:textId="77777777" w:rsidR="009D4544" w:rsidRDefault="009D454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2ABAAE0" w14:textId="78E77CC5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EC734B6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B3DDBB8" w14:textId="3E01CFFD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6F23051F" w14:textId="77777777" w:rsidR="00B97703" w:rsidRDefault="00B97703">
      <w:pPr>
        <w:rPr>
          <w:rFonts w:ascii="Arial" w:hAnsi="Arial" w:cs="Arial"/>
        </w:rPr>
      </w:pPr>
    </w:p>
    <w:p w14:paraId="2D8869F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5557A7F" w14:textId="798EB831" w:rsidR="00B97703" w:rsidRDefault="0022245B" w:rsidP="000F6242">
      <w:pPr>
        <w:rPr>
          <w:color w:val="0070C0"/>
        </w:rPr>
      </w:pPr>
      <w:r>
        <w:rPr>
          <w:color w:val="0070C0"/>
        </w:rPr>
        <w:t>In RANP#90e, RAN4 was tasked to feedback</w:t>
      </w:r>
      <w:r w:rsidRPr="0022245B">
        <w:rPr>
          <w:color w:val="0070C0"/>
        </w:rPr>
        <w:t xml:space="preserve"> </w:t>
      </w:r>
      <w:r>
        <w:rPr>
          <w:color w:val="0070C0"/>
        </w:rPr>
        <w:t>their</w:t>
      </w:r>
      <w:r w:rsidRPr="0022245B">
        <w:rPr>
          <w:color w:val="0070C0"/>
        </w:rPr>
        <w:t xml:space="preserve"> understanding to RAN2 by the end of the first meeting week of RAN4#98e (to allow RAN2 to finalize their work)</w:t>
      </w:r>
      <w:r>
        <w:rPr>
          <w:color w:val="0070C0"/>
        </w:rPr>
        <w:t xml:space="preserve"> on the following two </w:t>
      </w:r>
      <w:proofErr w:type="gramStart"/>
      <w:r>
        <w:rPr>
          <w:color w:val="0070C0"/>
        </w:rPr>
        <w:t>questions  on</w:t>
      </w:r>
      <w:proofErr w:type="gramEnd"/>
      <w:r>
        <w:rPr>
          <w:color w:val="0070C0"/>
        </w:rPr>
        <w:t xml:space="preserve"> BCS and support for intra-band EN-DC band combinations:</w:t>
      </w:r>
    </w:p>
    <w:p w14:paraId="49E99B67" w14:textId="510E0919" w:rsidR="0022245B" w:rsidRPr="0022245B" w:rsidRDefault="0022245B" w:rsidP="0022245B">
      <w:pPr>
        <w:pStyle w:val="ListParagraph"/>
        <w:numPr>
          <w:ilvl w:val="0"/>
          <w:numId w:val="5"/>
        </w:numPr>
        <w:rPr>
          <w:i/>
          <w:iCs/>
          <w:color w:val="0070C0"/>
        </w:rPr>
      </w:pPr>
      <w:r>
        <w:rPr>
          <w:i/>
          <w:iCs/>
          <w:color w:val="0070C0"/>
        </w:rPr>
        <w:t xml:space="preserve">A) </w:t>
      </w:r>
      <w:r w:rsidRPr="0022245B">
        <w:rPr>
          <w:i/>
          <w:iCs/>
          <w:color w:val="0070C0"/>
        </w:rPr>
        <w:t>Clarify if higher order (</w:t>
      </w:r>
      <w:proofErr w:type="gramStart"/>
      <w:r w:rsidRPr="0022245B">
        <w:rPr>
          <w:i/>
          <w:iCs/>
          <w:color w:val="0070C0"/>
        </w:rPr>
        <w:t>i.e.</w:t>
      </w:r>
      <w:proofErr w:type="gramEnd"/>
      <w:r w:rsidRPr="0022245B">
        <w:rPr>
          <w:i/>
          <w:iCs/>
          <w:color w:val="0070C0"/>
        </w:rPr>
        <w:t xml:space="preserve"> those band combinations which the UE indicates support for explicitly in UE capability signalling) EN-DC band combinations with a common band on the LTE and NR side such as DC_2A-7A-7A-66A-n66A and DC_2A-71A_n71A need to report a BCS for intra-band EN-DC (as defined in 38.101-3, section 5.3B.1), even if the UE doesn’t support the intra-band UL configurations DC_66A_n66A or DC_71A_n71A respectively. If the UE does not report the EN-DC BCS for such a combination, what can the network assume about the configuration limitations for the common bands (</w:t>
      </w:r>
      <w:proofErr w:type="gramStart"/>
      <w:r w:rsidRPr="0022245B">
        <w:rPr>
          <w:i/>
          <w:iCs/>
          <w:color w:val="0070C0"/>
        </w:rPr>
        <w:t>e.g.</w:t>
      </w:r>
      <w:proofErr w:type="gramEnd"/>
      <w:r w:rsidRPr="0022245B">
        <w:rPr>
          <w:i/>
          <w:iCs/>
          <w:color w:val="0070C0"/>
        </w:rPr>
        <w:t xml:space="preserve"> LTE band 71 and NR band n71) in the combination? </w:t>
      </w:r>
    </w:p>
    <w:p w14:paraId="733D3505" w14:textId="2D71FDDC" w:rsidR="0022245B" w:rsidRPr="0022245B" w:rsidRDefault="0022245B" w:rsidP="0022245B">
      <w:pPr>
        <w:pStyle w:val="ListParagraph"/>
        <w:numPr>
          <w:ilvl w:val="0"/>
          <w:numId w:val="5"/>
        </w:numPr>
        <w:rPr>
          <w:i/>
          <w:iCs/>
          <w:color w:val="0070C0"/>
        </w:rPr>
      </w:pPr>
      <w:r>
        <w:rPr>
          <w:i/>
          <w:iCs/>
          <w:color w:val="0070C0"/>
        </w:rPr>
        <w:t xml:space="preserve">B) </w:t>
      </w:r>
      <w:r w:rsidRPr="0022245B">
        <w:rPr>
          <w:i/>
          <w:iCs/>
          <w:color w:val="0070C0"/>
        </w:rPr>
        <w:t>Resolve the general question of classification of intra-band EN-DC band combinations according to UL support. If the UE doesn't support UL on intra-band EN-DC part of a band combination, is band combination classified as "intra-band EN-DC band combination"?</w:t>
      </w:r>
    </w:p>
    <w:p w14:paraId="1B495792" w14:textId="76478CFC" w:rsidR="00B97703" w:rsidRDefault="006A5061" w:rsidP="006863C4">
      <w:pPr>
        <w:rPr>
          <w:color w:val="0070C0"/>
        </w:rPr>
      </w:pPr>
      <w:r>
        <w:rPr>
          <w:color w:val="0070C0"/>
        </w:rPr>
        <w:t>In RAN4’s understanding, for an EN-DC band combination with a common band on the LTE and NR side,</w:t>
      </w:r>
      <w:r w:rsidR="00ED2EA4">
        <w:rPr>
          <w:color w:val="0070C0"/>
        </w:rPr>
        <w:t xml:space="preserve"> if a UE supports the UL configuration with both LTE and NR on the common band, then</w:t>
      </w:r>
      <w:r>
        <w:rPr>
          <w:color w:val="0070C0"/>
        </w:rPr>
        <w:t xml:space="preserve"> it is regarded as </w:t>
      </w:r>
      <w:r w:rsidR="009663D6">
        <w:rPr>
          <w:color w:val="0070C0"/>
        </w:rPr>
        <w:t>an i</w:t>
      </w:r>
      <w:r>
        <w:rPr>
          <w:color w:val="0070C0"/>
        </w:rPr>
        <w:t xml:space="preserve">ntra-band EN-DC </w:t>
      </w:r>
      <w:r w:rsidR="009663D6">
        <w:rPr>
          <w:color w:val="0070C0"/>
        </w:rPr>
        <w:t xml:space="preserve">band combination </w:t>
      </w:r>
      <w:r>
        <w:rPr>
          <w:color w:val="0070C0"/>
        </w:rPr>
        <w:t>with additional inter-band CA component of the LTE and NR”</w:t>
      </w:r>
      <w:r w:rsidR="00ED2EA4">
        <w:rPr>
          <w:color w:val="0070C0"/>
        </w:rPr>
        <w:t>, otherwise, it is interpreted as “inter-band EN-DC”.</w:t>
      </w:r>
      <w:r w:rsidR="006863C4">
        <w:rPr>
          <w:color w:val="0070C0"/>
        </w:rPr>
        <w:t xml:space="preserve"> Even though the EN-DC notation itself does not differentiate these two cases, the UL configuration on the common band is the key to understand which of the case a higher order EN-DC band combination belongs to</w:t>
      </w:r>
      <w:r w:rsidR="009663D6">
        <w:rPr>
          <w:color w:val="0070C0"/>
        </w:rPr>
        <w:t>. With such understanding, the answers to question A) and B) are clarified as:</w:t>
      </w:r>
    </w:p>
    <w:p w14:paraId="5B8F0B39" w14:textId="695D9A6B" w:rsidR="009663D6" w:rsidRDefault="009663D6" w:rsidP="000F6242">
      <w:pPr>
        <w:rPr>
          <w:color w:val="0070C0"/>
        </w:rPr>
      </w:pPr>
      <w:r>
        <w:rPr>
          <w:color w:val="0070C0"/>
        </w:rPr>
        <w:t xml:space="preserve">Answer to A): A UE has to </w:t>
      </w:r>
      <w:r w:rsidR="00385BE2">
        <w:rPr>
          <w:color w:val="0070C0"/>
        </w:rPr>
        <w:t>report</w:t>
      </w:r>
      <w:r>
        <w:rPr>
          <w:color w:val="0070C0"/>
        </w:rPr>
        <w:t xml:space="preserve"> the intra-band UL configuration for the common band </w:t>
      </w:r>
      <w:r w:rsidR="00385BE2">
        <w:rPr>
          <w:color w:val="0070C0"/>
        </w:rPr>
        <w:t>for</w:t>
      </w:r>
      <w:r>
        <w:rPr>
          <w:color w:val="0070C0"/>
        </w:rPr>
        <w:t xml:space="preserve"> a higher EN-DC band combination consisting of the common band</w:t>
      </w:r>
      <w:r w:rsidR="004E5BA6">
        <w:rPr>
          <w:color w:val="0070C0"/>
        </w:rPr>
        <w:t xml:space="preserve"> if it intends for the network to be aware </w:t>
      </w:r>
      <w:r w:rsidR="00DB6D9A">
        <w:rPr>
          <w:color w:val="0070C0"/>
        </w:rPr>
        <w:t xml:space="preserve">that it does not support </w:t>
      </w:r>
      <w:r w:rsidR="004E5BA6">
        <w:rPr>
          <w:color w:val="0070C0"/>
        </w:rPr>
        <w:t>intra-band EN-DC on the common band, otherwise, the network interprets the higher EN-DC band combination as an int</w:t>
      </w:r>
      <w:r w:rsidR="00DB6D9A">
        <w:rPr>
          <w:color w:val="0070C0"/>
        </w:rPr>
        <w:t>ra</w:t>
      </w:r>
      <w:r w:rsidR="004E5BA6">
        <w:rPr>
          <w:color w:val="0070C0"/>
        </w:rPr>
        <w:t>-band EN-DC band combination.</w:t>
      </w:r>
      <w:r w:rsidR="00DB6D9A">
        <w:rPr>
          <w:color w:val="0070C0"/>
        </w:rPr>
        <w:t xml:space="preserve"> In this way, the legacy UE is not impacted.</w:t>
      </w:r>
    </w:p>
    <w:p w14:paraId="1815B3A2" w14:textId="4012381F" w:rsidR="009C725A" w:rsidRPr="000F6242" w:rsidRDefault="00127772" w:rsidP="000F6242">
      <w:pPr>
        <w:rPr>
          <w:color w:val="0070C0"/>
        </w:rPr>
      </w:pPr>
      <w:r>
        <w:rPr>
          <w:color w:val="0070C0"/>
        </w:rPr>
        <w:t>Answer to B): If a UE does not support UL on intra-band EN-DC part of a band combination, the band combination is not classified as “intra-band EN-DC band combination”.</w:t>
      </w:r>
    </w:p>
    <w:p w14:paraId="13DA683B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3CDD5FCC" w14:textId="6FBE835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F3259">
        <w:rPr>
          <w:rFonts w:ascii="Arial" w:hAnsi="Arial" w:cs="Arial"/>
          <w:b/>
        </w:rPr>
        <w:t>RAN2</w:t>
      </w:r>
    </w:p>
    <w:p w14:paraId="0575148E" w14:textId="77777777" w:rsidR="005F7AA7" w:rsidRDefault="00B97703">
      <w:pPr>
        <w:spacing w:after="120"/>
        <w:ind w:left="993" w:hanging="993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</w:p>
    <w:p w14:paraId="26293CAF" w14:textId="77777777" w:rsidR="005F7AA7" w:rsidRDefault="005F7AA7">
      <w:pPr>
        <w:spacing w:after="120"/>
        <w:ind w:left="993" w:hanging="993"/>
        <w:rPr>
          <w:rFonts w:ascii="Arial" w:hAnsi="Arial" w:cs="Arial"/>
          <w:b/>
          <w:color w:val="0070C0"/>
        </w:rPr>
      </w:pPr>
    </w:p>
    <w:p w14:paraId="6896C506" w14:textId="6FF5D0AD" w:rsidR="00B97703" w:rsidRPr="00497802" w:rsidRDefault="00DF3259" w:rsidP="00497802">
      <w:pPr>
        <w:spacing w:after="120"/>
        <w:ind w:hanging="3"/>
        <w:rPr>
          <w:rFonts w:ascii="Arial" w:hAnsi="Arial" w:cs="Arial"/>
          <w:color w:val="0070C0"/>
        </w:rPr>
      </w:pPr>
      <w:r>
        <w:rPr>
          <w:color w:val="0070C0"/>
        </w:rPr>
        <w:t>RAN4</w:t>
      </w:r>
      <w:r w:rsidR="00B97703" w:rsidRPr="00017F23">
        <w:rPr>
          <w:color w:val="0070C0"/>
        </w:rPr>
        <w:t xml:space="preserve"> </w:t>
      </w:r>
      <w:r>
        <w:rPr>
          <w:color w:val="0070C0"/>
        </w:rPr>
        <w:t xml:space="preserve">kindly </w:t>
      </w:r>
      <w:r w:rsidR="00B97703" w:rsidRPr="00017F23">
        <w:rPr>
          <w:color w:val="0070C0"/>
        </w:rPr>
        <w:t>asks</w:t>
      </w:r>
      <w:r>
        <w:rPr>
          <w:color w:val="0070C0"/>
        </w:rPr>
        <w:t xml:space="preserve"> RAN2</w:t>
      </w:r>
      <w:r w:rsidR="00B97703" w:rsidRPr="00017F23">
        <w:rPr>
          <w:color w:val="0070C0"/>
        </w:rPr>
        <w:t xml:space="preserve"> to</w:t>
      </w:r>
      <w:r w:rsidR="00017F23" w:rsidRPr="00017F23">
        <w:rPr>
          <w:color w:val="0070C0"/>
        </w:rPr>
        <w:t xml:space="preserve"> </w:t>
      </w:r>
      <w:r>
        <w:rPr>
          <w:color w:val="0070C0"/>
        </w:rPr>
        <w:t xml:space="preserve">consider </w:t>
      </w:r>
      <w:r w:rsidR="005F7AA7">
        <w:rPr>
          <w:color w:val="0070C0"/>
        </w:rPr>
        <w:t xml:space="preserve">the above understanding from RAN4 </w:t>
      </w:r>
      <w:r w:rsidR="005679DE">
        <w:rPr>
          <w:color w:val="0070C0"/>
        </w:rPr>
        <w:t xml:space="preserve">if RAN2 </w:t>
      </w:r>
      <w:r w:rsidR="00497802">
        <w:rPr>
          <w:color w:val="0070C0"/>
        </w:rPr>
        <w:t xml:space="preserve">needs to </w:t>
      </w:r>
      <w:r w:rsidR="005679DE">
        <w:rPr>
          <w:color w:val="0070C0"/>
        </w:rPr>
        <w:t xml:space="preserve">revisit </w:t>
      </w:r>
      <w:r w:rsidR="005F7AA7">
        <w:rPr>
          <w:color w:val="0070C0"/>
        </w:rPr>
        <w:t xml:space="preserve">the </w:t>
      </w:r>
      <w:r w:rsidR="005679DE">
        <w:rPr>
          <w:color w:val="0070C0"/>
        </w:rPr>
        <w:t xml:space="preserve">related </w:t>
      </w:r>
      <w:r w:rsidR="005F7AA7">
        <w:rPr>
          <w:color w:val="0070C0"/>
        </w:rPr>
        <w:t>signalling design</w:t>
      </w:r>
      <w:r w:rsidR="00AB6A84">
        <w:rPr>
          <w:color w:val="0070C0"/>
        </w:rPr>
        <w:t>.</w:t>
      </w:r>
    </w:p>
    <w:p w14:paraId="7B117162" w14:textId="4213D994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DF3259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 </w:t>
      </w:r>
      <w:r w:rsidR="00DF3259">
        <w:rPr>
          <w:rFonts w:cs="Arial"/>
          <w:bCs/>
          <w:szCs w:val="36"/>
        </w:rPr>
        <w:t>#4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737C69E" w14:textId="2C23FF80" w:rsidR="002F1940" w:rsidRDefault="00DF3259" w:rsidP="002F1940">
      <w:bookmarkStart w:id="10" w:name="OLE_LINK55"/>
      <w:bookmarkStart w:id="11" w:name="OLE_LINK56"/>
      <w:bookmarkStart w:id="12" w:name="OLE_LINK53"/>
      <w:bookmarkStart w:id="13" w:name="OLE_LINK54"/>
      <w:r>
        <w:t>RAN4#98bis-e</w:t>
      </w:r>
      <w:r w:rsidR="002F1940">
        <w:tab/>
      </w:r>
      <w:r>
        <w:tab/>
        <w:t>April 12</w:t>
      </w:r>
      <w:r w:rsidRPr="00DF3259">
        <w:rPr>
          <w:vertAlign w:val="superscript"/>
        </w:rPr>
        <w:t>th</w:t>
      </w:r>
      <w:r>
        <w:t xml:space="preserve"> -</w:t>
      </w:r>
      <w:r w:rsidR="002F1940">
        <w:t xml:space="preserve"> </w:t>
      </w:r>
      <w:r>
        <w:t>20</w:t>
      </w:r>
      <w:r w:rsidRPr="00DF3259">
        <w:rPr>
          <w:vertAlign w:val="superscript"/>
        </w:rPr>
        <w:t>th</w:t>
      </w:r>
      <w:r>
        <w:t xml:space="preserve"> </w:t>
      </w:r>
      <w:r w:rsidR="002F1940">
        <w:tab/>
      </w:r>
      <w:bookmarkEnd w:id="10"/>
      <w:bookmarkEnd w:id="11"/>
      <w:r>
        <w:t>Electronic meeting</w:t>
      </w:r>
    </w:p>
    <w:p w14:paraId="61CB8BB7" w14:textId="7688D620" w:rsidR="002F1940" w:rsidRPr="002F1940" w:rsidRDefault="00DF3259" w:rsidP="002F1940">
      <w:r>
        <w:t>RAN4#99-e</w:t>
      </w:r>
      <w:r w:rsidR="002F1940">
        <w:tab/>
      </w:r>
      <w:r>
        <w:tab/>
        <w:t>May 19</w:t>
      </w:r>
      <w:r w:rsidRPr="00DF3259">
        <w:rPr>
          <w:vertAlign w:val="superscript"/>
        </w:rPr>
        <w:t>th</w:t>
      </w:r>
      <w:r>
        <w:t xml:space="preserve"> -</w:t>
      </w:r>
      <w:r w:rsidR="002F1940">
        <w:t xml:space="preserve"> </w:t>
      </w:r>
      <w:r>
        <w:t>27</w:t>
      </w:r>
      <w:r w:rsidRPr="00DF3259">
        <w:rPr>
          <w:vertAlign w:val="superscript"/>
        </w:rPr>
        <w:t>th</w:t>
      </w:r>
      <w:r>
        <w:t xml:space="preserve"> </w:t>
      </w:r>
      <w:r w:rsidR="002F1940">
        <w:tab/>
      </w:r>
      <w:r>
        <w:t>Electronic meeting</w:t>
      </w:r>
    </w:p>
    <w:bookmarkEnd w:id="12"/>
    <w:bookmarkEnd w:id="13"/>
    <w:p w14:paraId="58BBD008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8854FD" w14:textId="77777777" w:rsidR="00817C36" w:rsidRDefault="00817C36">
      <w:pPr>
        <w:spacing w:after="0"/>
      </w:pPr>
      <w:r>
        <w:separator/>
      </w:r>
    </w:p>
  </w:endnote>
  <w:endnote w:type="continuationSeparator" w:id="0">
    <w:p w14:paraId="068F39F7" w14:textId="77777777" w:rsidR="00817C36" w:rsidRDefault="00817C3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8B0838" w14:textId="77777777" w:rsidR="00817C36" w:rsidRDefault="00817C36">
      <w:pPr>
        <w:spacing w:after="0"/>
      </w:pPr>
      <w:r>
        <w:separator/>
      </w:r>
    </w:p>
  </w:footnote>
  <w:footnote w:type="continuationSeparator" w:id="0">
    <w:p w14:paraId="1CE6663D" w14:textId="77777777" w:rsidR="00817C36" w:rsidRDefault="00817C3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E4A0E12"/>
    <w:multiLevelType w:val="hybridMultilevel"/>
    <w:tmpl w:val="C302BFC8"/>
    <w:lvl w:ilvl="0" w:tplc="ADA2A8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7D448A0"/>
    <w:multiLevelType w:val="hybridMultilevel"/>
    <w:tmpl w:val="E6ACD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1A96"/>
    <w:rsid w:val="000F6242"/>
    <w:rsid w:val="00127772"/>
    <w:rsid w:val="0022245B"/>
    <w:rsid w:val="002F1940"/>
    <w:rsid w:val="00383545"/>
    <w:rsid w:val="00385BE2"/>
    <w:rsid w:val="00433500"/>
    <w:rsid w:val="00433F71"/>
    <w:rsid w:val="00440D43"/>
    <w:rsid w:val="00497802"/>
    <w:rsid w:val="004E3939"/>
    <w:rsid w:val="004E5BA6"/>
    <w:rsid w:val="005679DE"/>
    <w:rsid w:val="005F7AA7"/>
    <w:rsid w:val="00651A6D"/>
    <w:rsid w:val="006863C4"/>
    <w:rsid w:val="00695C55"/>
    <w:rsid w:val="006A5061"/>
    <w:rsid w:val="007F4F92"/>
    <w:rsid w:val="00817C36"/>
    <w:rsid w:val="008D772F"/>
    <w:rsid w:val="009663D6"/>
    <w:rsid w:val="0099764C"/>
    <w:rsid w:val="009C725A"/>
    <w:rsid w:val="009D4544"/>
    <w:rsid w:val="00AA1C98"/>
    <w:rsid w:val="00AB6A84"/>
    <w:rsid w:val="00B97703"/>
    <w:rsid w:val="00CF6087"/>
    <w:rsid w:val="00D24DA5"/>
    <w:rsid w:val="00DB6D9A"/>
    <w:rsid w:val="00DF3259"/>
    <w:rsid w:val="00E13DEB"/>
    <w:rsid w:val="00E311DB"/>
    <w:rsid w:val="00EC1E2B"/>
    <w:rsid w:val="00ED2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327770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224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84</TotalTime>
  <Pages>2</Pages>
  <Words>479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3208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Aijun</cp:lastModifiedBy>
  <cp:revision>21</cp:revision>
  <cp:lastPrinted>2002-04-23T07:10:00Z</cp:lastPrinted>
  <dcterms:created xsi:type="dcterms:W3CDTF">2021-01-11T10:05:00Z</dcterms:created>
  <dcterms:modified xsi:type="dcterms:W3CDTF">2021-01-15T14:10:00Z</dcterms:modified>
</cp:coreProperties>
</file>